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AC582" w14:textId="77777777" w:rsidR="00C8056B" w:rsidRPr="00C8056B" w:rsidRDefault="00C8056B" w:rsidP="009120D8">
      <w:pPr>
        <w:widowControl/>
        <w:tabs>
          <w:tab w:val="left" w:pos="3119"/>
        </w:tabs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INFORME SOBRE EL IMPACTO DE INFANCIA, ADOLESCENCIA Y FAMILIA RELATIVO AL PROYECTO DE </w:t>
      </w:r>
    </w:p>
    <w:p w14:paraId="07F7E1E0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4BA0F317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789A9357" w14:textId="1CE47C6C" w:rsidR="00C8056B" w:rsidRPr="00C8056B" w:rsidRDefault="002371CF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2371CF">
        <w:rPr>
          <w:rFonts w:ascii="Arial" w:eastAsia="Times New Roman" w:hAnsi="Arial" w:cs="Arial"/>
          <w:bCs/>
          <w:sz w:val="20"/>
          <w:szCs w:val="20"/>
          <w:lang w:eastAsia="es-ES"/>
        </w:rPr>
        <w:t>De acuerdo con lo previsto en la Ley 26/2018, de 21 de diciembre, de la Generalitat, de derechos y garantías de la Infancia y Adolescencia, y en la Ley 40/2003, de 18 de noviembre, de Protección a las Familias Numerosas, con el fin de evaluar el posible impacto que pueda causar la aprobación del proyecto de referencia en los niños, las niñas y sus familias, y asegurar la integración del principio del interés superior de los niños y de las niñas, se emite el siguiente INFORME</w:t>
      </w:r>
      <w:r w:rsidR="00C8056B" w:rsidRPr="00C8056B">
        <w:rPr>
          <w:rFonts w:ascii="Arial" w:eastAsia="Times New Roman" w:hAnsi="Arial" w:cs="Arial"/>
          <w:bCs/>
          <w:sz w:val="20"/>
          <w:szCs w:val="20"/>
          <w:lang w:eastAsia="es-ES"/>
        </w:rPr>
        <w:t>:</w:t>
      </w:r>
    </w:p>
    <w:p w14:paraId="5D137693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EB8DCEA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4FFCBFC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sz w:val="20"/>
          <w:szCs w:val="20"/>
          <w:lang w:val="es-ES" w:eastAsia="es-ES"/>
        </w:rPr>
        <w:t>1) DESCRIPCIÓN DEL PROYECTO Y OBJETIVO</w:t>
      </w:r>
    </w:p>
    <w:p w14:paraId="04414743" w14:textId="77777777" w:rsidR="00C8056B" w:rsidRPr="00C8056B" w:rsidRDefault="00C8056B" w:rsidP="00C8056B">
      <w:pPr>
        <w:widowControl/>
        <w:autoSpaceDN/>
        <w:ind w:left="-709" w:right="140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ha iniciado por resolución de </w:t>
      </w:r>
      <w:proofErr w:type="spellStart"/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>xx</w:t>
      </w:r>
      <w:proofErr w:type="spellEnd"/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</w:t>
      </w:r>
      <w:proofErr w:type="spellStart"/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>xxxxx</w:t>
      </w:r>
      <w:proofErr w:type="spellEnd"/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202x, del Conseller de Sanidad, el Proyecto de </w:t>
      </w:r>
      <w:proofErr w:type="spellStart"/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>xxxxxxxxxxxxxxxxxxxxxxxxxxxxxxxx</w:t>
      </w:r>
      <w:proofErr w:type="spellEnd"/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>.</w:t>
      </w:r>
    </w:p>
    <w:p w14:paraId="5757781B" w14:textId="77777777" w:rsidR="00C8056B" w:rsidRPr="00C8056B" w:rsidRDefault="00C8056B" w:rsidP="00C8056B">
      <w:pPr>
        <w:widowControl/>
        <w:autoSpaceDN/>
        <w:ind w:left="-709" w:right="140" w:firstLine="708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1A78870" w14:textId="77777777" w:rsidR="00C8056B" w:rsidRPr="00C8056B" w:rsidRDefault="00C8056B" w:rsidP="00C8056B">
      <w:pPr>
        <w:widowControl/>
        <w:autoSpaceDN/>
        <w:spacing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El objetivo de este proyecto es </w:t>
      </w:r>
      <w:proofErr w:type="spellStart"/>
      <w:r w:rsidRPr="00C8056B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xxxxxxxxxxxxxxxxxxxxxxxxxxxxxxxxx</w:t>
      </w:r>
      <w:proofErr w:type="spellEnd"/>
    </w:p>
    <w:p w14:paraId="232A085B" w14:textId="77777777" w:rsidR="00C8056B" w:rsidRPr="00C8056B" w:rsidRDefault="00C8056B" w:rsidP="00C8056B">
      <w:pPr>
        <w:widowControl/>
        <w:autoSpaceDN/>
        <w:spacing w:after="100" w:afterAutospacing="1"/>
        <w:ind w:left="-709" w:right="140" w:firstLine="708"/>
        <w:contextualSpacing/>
        <w:jc w:val="both"/>
        <w:textAlignment w:val="auto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</w:p>
    <w:p w14:paraId="1E8F5278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7B5B7D0A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sz w:val="20"/>
          <w:szCs w:val="20"/>
          <w:lang w:val="es-ES" w:eastAsia="es-ES"/>
        </w:rPr>
        <w:t>2) ANÁLISIS DE LA SITUACIÓN ACTUAL</w:t>
      </w:r>
    </w:p>
    <w:p w14:paraId="7FD8D25A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Identificación de la situación de partida.</w:t>
      </w:r>
    </w:p>
    <w:p w14:paraId="3C0AD24A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14:paraId="063223A6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 xml:space="preserve">Ofrecer datos cuantitativos y cualitativos en relación con la población infantil y juvenil, de qué población se habla, porcentaje de menores y jóvenes por franjas de edades, por sexo, por nacionalidad, procedencia, municipio, departamentos, en qué medida afecta la norma, </w:t>
      </w:r>
      <w:proofErr w:type="spellStart"/>
      <w:r w:rsidRPr="00C8056B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etc</w:t>
      </w:r>
      <w:proofErr w:type="spellEnd"/>
      <w:r w:rsidRPr="00C8056B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 xml:space="preserve">…. </w:t>
      </w:r>
    </w:p>
    <w:p w14:paraId="4C8E44B6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14:paraId="08EED6CF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iCs/>
          <w:sz w:val="20"/>
          <w:szCs w:val="20"/>
          <w:lang w:val="es-ES" w:eastAsia="es-ES"/>
        </w:rPr>
      </w:pPr>
    </w:p>
    <w:p w14:paraId="4DB36AC3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sz w:val="20"/>
          <w:szCs w:val="20"/>
          <w:lang w:val="es-ES" w:eastAsia="es-ES"/>
        </w:rPr>
        <w:t>3) ANÁLIS DE LA INCIDENCIA DEL PROYECTO</w:t>
      </w:r>
    </w:p>
    <w:p w14:paraId="77139114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Cómo incidirá la aplicación de la norma sobre la situación de partida previamente identificada.</w:t>
      </w:r>
    </w:p>
    <w:p w14:paraId="44B1AF17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F96E4E3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Sobre la infancia y adolescencia:</w:t>
      </w:r>
    </w:p>
    <w:p w14:paraId="0AD7C903" w14:textId="77777777" w:rsidR="00C8056B" w:rsidRPr="00C8056B" w:rsidRDefault="00C8056B" w:rsidP="002B3CF3">
      <w:pPr>
        <w:widowControl/>
        <w:numPr>
          <w:ilvl w:val="0"/>
          <w:numId w:val="2"/>
        </w:numPr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Contenidos concretos de la iniciativa con potenciales efectos sobre la infancia y adolescencia en general.</w:t>
      </w:r>
    </w:p>
    <w:p w14:paraId="134724FA" w14:textId="77777777" w:rsidR="00C8056B" w:rsidRPr="00C8056B" w:rsidRDefault="00C8056B" w:rsidP="002B3CF3">
      <w:pPr>
        <w:widowControl/>
        <w:numPr>
          <w:ilvl w:val="0"/>
          <w:numId w:val="2"/>
        </w:numPr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Identificar los derechos de la infancia, recogidos en la Convención de los Derechos del </w:t>
      </w:r>
      <w:proofErr w:type="spellStart"/>
      <w:proofErr w:type="gramStart"/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Niño,y</w:t>
      </w:r>
      <w:proofErr w:type="spellEnd"/>
      <w:proofErr w:type="gramEnd"/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en la legislación estatal y autonómica, sobre los que podría tener efectos la iniciativa y, si es el caso, colectivos especialmente vulnerables a los que afecta.</w:t>
      </w:r>
    </w:p>
    <w:p w14:paraId="2B6236BB" w14:textId="77777777" w:rsidR="00C8056B" w:rsidRPr="00C8056B" w:rsidRDefault="00C8056B" w:rsidP="002B3CF3">
      <w:pPr>
        <w:widowControl/>
        <w:numPr>
          <w:ilvl w:val="0"/>
          <w:numId w:val="2"/>
        </w:numPr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La contribución al cumplimiento del principio de interés superior de las personas menores de edad.</w:t>
      </w:r>
    </w:p>
    <w:p w14:paraId="71DA6857" w14:textId="77777777" w:rsidR="00C8056B" w:rsidRPr="00C8056B" w:rsidRDefault="00C8056B" w:rsidP="002B3CF3">
      <w:pPr>
        <w:widowControl/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62E1CB96" w14:textId="77777777" w:rsidR="00C8056B" w:rsidRPr="00C8056B" w:rsidRDefault="00C8056B" w:rsidP="002B3CF3">
      <w:pPr>
        <w:widowControl/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Sobre la familia:</w:t>
      </w:r>
    </w:p>
    <w:p w14:paraId="0B4C2E9C" w14:textId="77777777" w:rsidR="00C8056B" w:rsidRPr="00C8056B" w:rsidRDefault="00C8056B" w:rsidP="002B3CF3">
      <w:pPr>
        <w:widowControl/>
        <w:numPr>
          <w:ilvl w:val="0"/>
          <w:numId w:val="3"/>
        </w:numPr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Identificar a qué tipo de familias podría afectar la iniciativa.</w:t>
      </w:r>
    </w:p>
    <w:p w14:paraId="04A4C67B" w14:textId="77777777" w:rsidR="00C8056B" w:rsidRPr="00C8056B" w:rsidRDefault="00C8056B" w:rsidP="002B3CF3">
      <w:pPr>
        <w:widowControl/>
        <w:numPr>
          <w:ilvl w:val="0"/>
          <w:numId w:val="3"/>
        </w:numPr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Contenidos concretos de la iniciativa con potenciales efectos sobre la familia.</w:t>
      </w:r>
    </w:p>
    <w:p w14:paraId="405F0BD0" w14:textId="77777777" w:rsidR="00C8056B" w:rsidRPr="00C8056B" w:rsidRDefault="00C8056B" w:rsidP="002B3CF3">
      <w:pPr>
        <w:widowControl/>
        <w:numPr>
          <w:ilvl w:val="0"/>
          <w:numId w:val="3"/>
        </w:numPr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Derechos y deberes de las personas integrantes de una unidad familiar sobre los que podría tener efectos la iniciativa, de forma individual y colectiva.</w:t>
      </w:r>
    </w:p>
    <w:p w14:paraId="19550E12" w14:textId="77777777" w:rsidR="00C8056B" w:rsidRPr="00C8056B" w:rsidRDefault="00C8056B" w:rsidP="002B3CF3">
      <w:pPr>
        <w:widowControl/>
        <w:numPr>
          <w:ilvl w:val="0"/>
          <w:numId w:val="3"/>
        </w:numPr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El impacto sobre la estructura de la unidad familiar en cuanto a su identidad.</w:t>
      </w:r>
    </w:p>
    <w:p w14:paraId="6F098467" w14:textId="77777777" w:rsidR="00C8056B" w:rsidRPr="00C8056B" w:rsidRDefault="00C8056B" w:rsidP="002B3CF3">
      <w:pPr>
        <w:widowControl/>
        <w:numPr>
          <w:ilvl w:val="0"/>
          <w:numId w:val="3"/>
        </w:numPr>
        <w:autoSpaceDN/>
        <w:spacing w:before="100" w:beforeAutospacing="1" w:after="100" w:afterAutospacing="1"/>
        <w:ind w:left="-284" w:right="140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sz w:val="20"/>
          <w:szCs w:val="20"/>
          <w:lang w:val="es-ES" w:eastAsia="es-ES"/>
        </w:rPr>
        <w:t>Las consecuencias en materia de protección a la familia.</w:t>
      </w:r>
    </w:p>
    <w:p w14:paraId="5B2968A4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5EA033EB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sz w:val="20"/>
          <w:szCs w:val="20"/>
          <w:lang w:val="es-ES" w:eastAsia="es-ES"/>
        </w:rPr>
        <w:t>4) VALORACIÓN</w:t>
      </w:r>
    </w:p>
    <w:p w14:paraId="42F49E21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El informe ha de concluir con un pronunciamiento final sobre el impacto de la iniciativa en la infancia, adolescencia y familia. El pronunciamiento deber ser fundamentado y se ha de hacer por separado, considerando la incidencia en la infancia y adolescencia, de un parte, y en la familia de otra.</w:t>
      </w:r>
    </w:p>
    <w:p w14:paraId="3D633713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14:paraId="22449AA3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 xml:space="preserve">Impacto negativo: </w:t>
      </w:r>
      <w:r w:rsidRPr="00C8056B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Cuando de la aprobación de la iniciativa no se derive la eliminación o disminución de las deficiencias detectadas en la situación de partida o empeore. También se considerará negativo el impacto cuando los efectos desfavorables sean más relevantes que los favorables.</w:t>
      </w:r>
    </w:p>
    <w:p w14:paraId="3CED24AD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</w:pPr>
    </w:p>
    <w:p w14:paraId="70A4C2EF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lastRenderedPageBreak/>
        <w:t>Impacto nulo:</w:t>
      </w:r>
      <w:r w:rsidRPr="00C8056B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 Cuando de la aprobación de la norma no se derive modificación alguna de la situación de partida.</w:t>
      </w:r>
    </w:p>
    <w:p w14:paraId="7BD72C9A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</w:pPr>
    </w:p>
    <w:p w14:paraId="08D711CD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 xml:space="preserve">Impacto positivo: </w:t>
      </w:r>
      <w:r w:rsidRPr="00C8056B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>Cuando de la aprobación de la iniciativa se derive la eliminación o disminución de las deficiencias detectadas en la situación de partida o la mejore, sea cual sea ésta. También se considerará positivo el impacto cuando los efectos favorables sean más relevantes que los desfavorables.</w:t>
      </w:r>
    </w:p>
    <w:p w14:paraId="3DD290B5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</w:pPr>
    </w:p>
    <w:p w14:paraId="5206422D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>Sin impacto:</w:t>
      </w:r>
      <w:r w:rsidRPr="00C8056B">
        <w:rPr>
          <w:rFonts w:ascii="Arial" w:eastAsia="Times New Roman" w:hAnsi="Arial" w:cs="Arial"/>
          <w:bCs/>
          <w:i/>
          <w:iCs/>
          <w:sz w:val="20"/>
          <w:szCs w:val="20"/>
          <w:lang w:val="es-ES" w:eastAsia="es-ES"/>
        </w:rPr>
        <w:t xml:space="preserve"> Cuando en la fase 3 de “Análisis de la incidencia del proyecto” no se hayan identificado derechos, necesidades y grupos concretos sobre los que pueda impactar la norma y, por tanto, la iniciativa no pueda tener ninguna consecuencia para derechos o necesidades de la infancia ni se vea influida por el principio de supremacía del interés del menor, ni afecte a la protección de la familia, la identidad o los derechos y obligaciones de las personas integrantes de una unidad familiar. Este supuesto debe ser suficientemente motivado, de manera que quede patente que han sido tomados en consideración todos los derechos y necesidades de la infancia, adolescencia y familia y, aun así, no se ha identificado ningún contenido de la iniciativa que pueda influir en estos.</w:t>
      </w:r>
    </w:p>
    <w:p w14:paraId="55258AB1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 w:firstLine="595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1C469A0B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b/>
          <w:sz w:val="20"/>
          <w:szCs w:val="20"/>
          <w:lang w:val="es-ES" w:eastAsia="es-ES"/>
        </w:rPr>
        <w:t>5) CONCLUSION Y, EN SU CASO, PROPUESTAS DE MEJORA</w:t>
      </w:r>
    </w:p>
    <w:p w14:paraId="5B90677E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DDF4243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Vista la situación de partida en el ámbito del proyecto normativo, y considerando que </w:t>
      </w:r>
    </w:p>
    <w:p w14:paraId="08FDD6FD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D2D68CD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>…………..</w:t>
      </w:r>
    </w:p>
    <w:p w14:paraId="221A3F7D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4026F08" w14:textId="44F2D9B4" w:rsid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>se valora su impacto en la infancia, adolescencia y familia como</w:t>
      </w:r>
      <w:r w:rsidRPr="00C8056B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 xml:space="preserve"> NULO/POSITIVO …</w:t>
      </w:r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14:paraId="3396A90E" w14:textId="77777777" w:rsidR="00C73C7A" w:rsidRPr="00C8056B" w:rsidRDefault="00C73C7A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C6A70D4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center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>València, a fecha de firma electrónica</w:t>
      </w:r>
    </w:p>
    <w:p w14:paraId="2A775693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center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C8056B">
        <w:rPr>
          <w:rFonts w:ascii="Arial" w:eastAsia="Times New Roman" w:hAnsi="Arial" w:cs="Arial"/>
          <w:sz w:val="20"/>
          <w:szCs w:val="20"/>
          <w:lang w:val="es-ES" w:eastAsia="es-ES"/>
        </w:rPr>
        <w:t>(Firma de órgano proponente)</w:t>
      </w:r>
    </w:p>
    <w:p w14:paraId="3F410BE9" w14:textId="77777777" w:rsidR="00C8056B" w:rsidRPr="00C8056B" w:rsidRDefault="00C8056B" w:rsidP="00C8056B">
      <w:pPr>
        <w:widowControl/>
        <w:autoSpaceDN/>
        <w:spacing w:before="100" w:beforeAutospacing="1" w:after="100" w:afterAutospacing="1"/>
        <w:ind w:left="-709" w:right="140"/>
        <w:contextualSpacing/>
        <w:jc w:val="center"/>
        <w:textAlignment w:val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76F1031" w14:textId="549F404B" w:rsidR="00AB72E5" w:rsidRDefault="00AB72E5" w:rsidP="00DC7DAB">
      <w:pPr>
        <w:pStyle w:val="Standard"/>
        <w:spacing w:line="240" w:lineRule="atLeast"/>
        <w:ind w:left="-709" w:right="-144"/>
        <w:jc w:val="both"/>
      </w:pPr>
    </w:p>
    <w:p w14:paraId="7C72616C" w14:textId="4B1066D1" w:rsidR="00697064" w:rsidRDefault="00697064" w:rsidP="00DC7DAB">
      <w:pPr>
        <w:pStyle w:val="Standard"/>
        <w:spacing w:line="240" w:lineRule="atLeast"/>
        <w:ind w:left="-709"/>
        <w:jc w:val="both"/>
      </w:pPr>
    </w:p>
    <w:p w14:paraId="4B2B5A94" w14:textId="593ECD76" w:rsidR="00697064" w:rsidRDefault="00697064" w:rsidP="00DC7DAB">
      <w:pPr>
        <w:pStyle w:val="Standard"/>
        <w:spacing w:line="240" w:lineRule="atLeast"/>
        <w:ind w:left="-709"/>
        <w:jc w:val="both"/>
      </w:pPr>
    </w:p>
    <w:p w14:paraId="595CFEB5" w14:textId="5FA45399" w:rsidR="00697064" w:rsidRDefault="00697064" w:rsidP="00DC7DAB">
      <w:pPr>
        <w:pStyle w:val="Standard"/>
        <w:spacing w:line="240" w:lineRule="atLeast"/>
        <w:ind w:left="-709"/>
        <w:jc w:val="both"/>
      </w:pPr>
    </w:p>
    <w:p w14:paraId="18F50F9D" w14:textId="77777777" w:rsidR="00697064" w:rsidRDefault="00697064" w:rsidP="00DC7DAB">
      <w:pPr>
        <w:pStyle w:val="Standard"/>
        <w:spacing w:line="240" w:lineRule="atLeast"/>
        <w:ind w:left="-709"/>
        <w:jc w:val="both"/>
      </w:pPr>
    </w:p>
    <w:sectPr w:rsidR="00697064" w:rsidSect="00DC7DAB">
      <w:headerReference w:type="default" r:id="rId7"/>
      <w:headerReference w:type="first" r:id="rId8"/>
      <w:footerReference w:type="first" r:id="rId9"/>
      <w:pgSz w:w="11906" w:h="16838"/>
      <w:pgMar w:top="2268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7A099" w14:textId="77777777" w:rsidR="00974195" w:rsidRDefault="00974195">
      <w:r>
        <w:separator/>
      </w:r>
    </w:p>
  </w:endnote>
  <w:endnote w:type="continuationSeparator" w:id="0">
    <w:p w14:paraId="5CF72A48" w14:textId="77777777" w:rsidR="00974195" w:rsidRDefault="0097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00990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7639A0" w14:textId="45C42052" w:rsidR="004B4CD7" w:rsidRPr="004B4CD7" w:rsidRDefault="004B4CD7">
        <w:pPr>
          <w:pStyle w:val="Piedepgina"/>
          <w:jc w:val="right"/>
          <w:rPr>
            <w:sz w:val="20"/>
            <w:szCs w:val="20"/>
          </w:rPr>
        </w:pPr>
        <w:r w:rsidRPr="004B4CD7">
          <w:rPr>
            <w:sz w:val="20"/>
            <w:szCs w:val="20"/>
          </w:rPr>
          <w:fldChar w:fldCharType="begin"/>
        </w:r>
        <w:r w:rsidRPr="004B4CD7">
          <w:rPr>
            <w:sz w:val="20"/>
            <w:szCs w:val="20"/>
          </w:rPr>
          <w:instrText>PAGE   \* MERGEFORMAT</w:instrText>
        </w:r>
        <w:r w:rsidRPr="004B4CD7">
          <w:rPr>
            <w:sz w:val="20"/>
            <w:szCs w:val="20"/>
          </w:rPr>
          <w:fldChar w:fldCharType="separate"/>
        </w:r>
        <w:r w:rsidRPr="004B4CD7">
          <w:rPr>
            <w:sz w:val="20"/>
            <w:szCs w:val="20"/>
            <w:lang w:val="es-ES"/>
          </w:rPr>
          <w:t>2</w:t>
        </w:r>
        <w:r w:rsidRPr="004B4CD7">
          <w:rPr>
            <w:sz w:val="20"/>
            <w:szCs w:val="20"/>
          </w:rPr>
          <w:fldChar w:fldCharType="end"/>
        </w:r>
      </w:p>
    </w:sdtContent>
  </w:sdt>
  <w:p w14:paraId="75A7B922" w14:textId="77777777" w:rsidR="004B4CD7" w:rsidRDefault="004B4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EEC2" w14:textId="77777777" w:rsidR="00974195" w:rsidRDefault="00974195">
      <w:r>
        <w:rPr>
          <w:color w:val="000000"/>
        </w:rPr>
        <w:separator/>
      </w:r>
    </w:p>
  </w:footnote>
  <w:footnote w:type="continuationSeparator" w:id="0">
    <w:p w14:paraId="3B0CAE31" w14:textId="77777777" w:rsidR="00974195" w:rsidRDefault="0097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FB19B" w14:textId="4319B0BD" w:rsidR="00B510F4" w:rsidRDefault="00697064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B9E17DA" wp14:editId="03E9B854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704850" cy="1057275"/>
          <wp:effectExtent l="0" t="0" r="0" b="9525"/>
          <wp:wrapNone/>
          <wp:docPr id="11" name="Imagen 1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CD6186" w14:textId="77777777" w:rsidR="00B510F4" w:rsidRDefault="002371CF">
    <w:pPr>
      <w:pStyle w:val="Encabezado"/>
    </w:pPr>
  </w:p>
  <w:p w14:paraId="01231FD6" w14:textId="77777777" w:rsidR="00B510F4" w:rsidRDefault="002371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E7EE" w14:textId="77777777" w:rsidR="00B510F4" w:rsidRDefault="002A7581">
    <w:pPr>
      <w:pStyle w:val="Encabezado"/>
      <w:ind w:left="1985" w:right="851"/>
      <w:rPr>
        <w:rFonts w:ascii="Roboto" w:hAnsi="Roboto" w:cs="Times New Roman"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43D186FA" wp14:editId="19146CB0">
          <wp:simplePos x="0" y="0"/>
          <wp:positionH relativeFrom="column">
            <wp:posOffset>-1220470</wp:posOffset>
          </wp:positionH>
          <wp:positionV relativeFrom="paragraph">
            <wp:posOffset>-299720</wp:posOffset>
          </wp:positionV>
          <wp:extent cx="2695575" cy="1391285"/>
          <wp:effectExtent l="0" t="0" r="0" b="0"/>
          <wp:wrapThrough wrapText="bothSides">
            <wp:wrapPolygon edited="0">
              <wp:start x="2900" y="3253"/>
              <wp:lineTo x="2442" y="8281"/>
              <wp:lineTo x="2442" y="13309"/>
              <wp:lineTo x="3358" y="14492"/>
              <wp:lineTo x="3511" y="15084"/>
              <wp:lineTo x="13739" y="15084"/>
              <wp:lineTo x="13739" y="13309"/>
              <wp:lineTo x="14960" y="13309"/>
              <wp:lineTo x="15876" y="11239"/>
              <wp:lineTo x="16181" y="6507"/>
              <wp:lineTo x="14349" y="5915"/>
              <wp:lineTo x="4122" y="3253"/>
              <wp:lineTo x="2900" y="3253"/>
            </wp:wrapPolygon>
          </wp:wrapThrough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13912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E1545" w14:textId="77777777" w:rsidR="00B510F4" w:rsidRDefault="002371CF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F66BE"/>
    <w:multiLevelType w:val="multilevel"/>
    <w:tmpl w:val="97728CA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C393334"/>
    <w:multiLevelType w:val="hybridMultilevel"/>
    <w:tmpl w:val="11B81E5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7409B"/>
    <w:multiLevelType w:val="hybridMultilevel"/>
    <w:tmpl w:val="7996F408"/>
    <w:lvl w:ilvl="0" w:tplc="D2AE1830">
      <w:start w:val="2"/>
      <w:numFmt w:val="bullet"/>
      <w:lvlText w:val="-"/>
      <w:lvlJc w:val="left"/>
      <w:pPr>
        <w:ind w:left="720" w:hanging="360"/>
      </w:pPr>
      <w:rPr>
        <w:rFonts w:ascii="Arimo" w:eastAsiaTheme="minorEastAsia" w:hAnsi="Arimo" w:cs="Arim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95"/>
    <w:rsid w:val="00017D0A"/>
    <w:rsid w:val="001B65D2"/>
    <w:rsid w:val="002371CF"/>
    <w:rsid w:val="002A7581"/>
    <w:rsid w:val="002B3CF3"/>
    <w:rsid w:val="00316AF2"/>
    <w:rsid w:val="004B4CD7"/>
    <w:rsid w:val="005B06AC"/>
    <w:rsid w:val="00697064"/>
    <w:rsid w:val="00773A5B"/>
    <w:rsid w:val="008D3B16"/>
    <w:rsid w:val="009120D8"/>
    <w:rsid w:val="00974195"/>
    <w:rsid w:val="00AB72E5"/>
    <w:rsid w:val="00B07AAA"/>
    <w:rsid w:val="00C10997"/>
    <w:rsid w:val="00C73C7A"/>
    <w:rsid w:val="00C8056B"/>
    <w:rsid w:val="00CE43E1"/>
    <w:rsid w:val="00D124E4"/>
    <w:rsid w:val="00D91A9D"/>
    <w:rsid w:val="00DC7DAB"/>
    <w:rsid w:val="00E8586D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C81A"/>
  <w15:docId w15:val="{23EB14BD-B852-4F3B-A25D-27465090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  <w:uiPriority w:val="99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67623N\OneDrive%20-%20GENERALITAT\Descargas\Plantilla%20Conseller&#237;a%20Servicios%20Econom&#237;a%20Castell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Economía Castellano.dotx</Template>
  <TotalTime>1</TotalTime>
  <Pages>2</Pages>
  <Words>670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GINER CONEJOS, CARMEN</dc:creator>
  <cp:lastModifiedBy>MINGUEZ MILIO, ISABEL</cp:lastModifiedBy>
  <cp:revision>6</cp:revision>
  <dcterms:created xsi:type="dcterms:W3CDTF">2024-02-14T11:02:00Z</dcterms:created>
  <dcterms:modified xsi:type="dcterms:W3CDTF">2024-04-23T07:08:00Z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